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E6798" w14:textId="77777777" w:rsidR="00692B79" w:rsidRPr="00231E05" w:rsidRDefault="00692B79" w:rsidP="00692B79">
      <w:pPr>
        <w:rPr>
          <w:rFonts w:ascii="Arial" w:hAnsi="Arial" w:cs="Arial"/>
        </w:rPr>
      </w:pPr>
      <w:r w:rsidRPr="00231E05">
        <w:rPr>
          <w:rFonts w:ascii="Arial" w:hAnsi="Arial" w:cs="Arial"/>
        </w:rPr>
        <w:t xml:space="preserve">Pressemitteilung </w:t>
      </w:r>
    </w:p>
    <w:p w14:paraId="20590744" w14:textId="77777777" w:rsidR="00692B79" w:rsidRPr="00231E05" w:rsidRDefault="00692B79" w:rsidP="00692B79">
      <w:pPr>
        <w:rPr>
          <w:rFonts w:ascii="Arial" w:hAnsi="Arial" w:cs="Arial"/>
        </w:rPr>
      </w:pPr>
      <w:r w:rsidRPr="00231E05">
        <w:rPr>
          <w:rFonts w:ascii="Arial" w:hAnsi="Arial" w:cs="Arial"/>
        </w:rPr>
        <w:t xml:space="preserve">Nr. </w:t>
      </w:r>
      <w:r w:rsidR="00821EEF">
        <w:rPr>
          <w:rFonts w:ascii="Arial" w:hAnsi="Arial" w:cs="Arial"/>
        </w:rPr>
        <w:t>651</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14:paraId="12787567" w14:textId="77777777" w:rsidR="00692B79" w:rsidRPr="00231E05" w:rsidRDefault="00692B79" w:rsidP="00692B79">
      <w:pPr>
        <w:spacing w:line="360" w:lineRule="auto"/>
        <w:rPr>
          <w:rFonts w:ascii="Arial" w:hAnsi="Arial" w:cs="Arial"/>
          <w:b/>
          <w:sz w:val="28"/>
          <w:szCs w:val="28"/>
          <w:lang w:eastAsia="en-US"/>
        </w:rPr>
      </w:pPr>
    </w:p>
    <w:p w14:paraId="323C9EA6" w14:textId="77777777" w:rsidR="00C20498" w:rsidRDefault="00C20498" w:rsidP="00C20498">
      <w:pPr>
        <w:pStyle w:val="StandardWeb"/>
        <w:spacing w:line="360" w:lineRule="auto"/>
        <w:rPr>
          <w:rFonts w:ascii="Arial" w:hAnsi="Arial" w:cs="Arial"/>
          <w:b/>
          <w:sz w:val="32"/>
          <w:szCs w:val="32"/>
        </w:rPr>
      </w:pPr>
      <w:r w:rsidRPr="00C20498">
        <w:rPr>
          <w:rFonts w:ascii="Arial" w:hAnsi="Arial" w:cs="Arial"/>
          <w:b/>
          <w:sz w:val="32"/>
          <w:szCs w:val="32"/>
        </w:rPr>
        <w:t>Noch präzisere Farberkennung dank neuem Farbraum</w:t>
      </w:r>
    </w:p>
    <w:p w14:paraId="5A9F22EA" w14:textId="6D221EA7" w:rsidR="00676DC9" w:rsidRDefault="00676DC9" w:rsidP="00C20498">
      <w:pPr>
        <w:pStyle w:val="StandardWeb"/>
        <w:spacing w:line="360" w:lineRule="auto"/>
        <w:rPr>
          <w:rFonts w:ascii="Arial" w:hAnsi="Arial" w:cs="Arial"/>
          <w:b/>
          <w:sz w:val="22"/>
          <w:szCs w:val="22"/>
        </w:rPr>
      </w:pPr>
      <w:r>
        <w:rPr>
          <w:rFonts w:ascii="Arial" w:hAnsi="Arial" w:cs="Arial"/>
          <w:b/>
          <w:sz w:val="22"/>
          <w:szCs w:val="22"/>
        </w:rPr>
        <w:t>Die</w:t>
      </w:r>
      <w:r w:rsidR="00C20498" w:rsidRPr="00821EEF">
        <w:rPr>
          <w:rFonts w:ascii="Arial" w:hAnsi="Arial" w:cs="Arial"/>
          <w:b/>
          <w:sz w:val="22"/>
          <w:szCs w:val="22"/>
        </w:rPr>
        <w:t xml:space="preserve"> Farbsensor</w:t>
      </w:r>
      <w:r w:rsidR="00D90149">
        <w:rPr>
          <w:rFonts w:ascii="Arial" w:hAnsi="Arial" w:cs="Arial"/>
          <w:b/>
          <w:sz w:val="22"/>
          <w:szCs w:val="22"/>
        </w:rPr>
        <w:t>-S</w:t>
      </w:r>
      <w:r w:rsidR="00C20498" w:rsidRPr="00821EEF">
        <w:rPr>
          <w:rFonts w:ascii="Arial" w:hAnsi="Arial" w:cs="Arial"/>
          <w:b/>
          <w:sz w:val="22"/>
          <w:szCs w:val="22"/>
        </w:rPr>
        <w:t xml:space="preserve">erie colorSENSOR CFO250 </w:t>
      </w:r>
      <w:r>
        <w:rPr>
          <w:rFonts w:ascii="Arial" w:hAnsi="Arial" w:cs="Arial"/>
          <w:b/>
          <w:sz w:val="22"/>
          <w:szCs w:val="22"/>
        </w:rPr>
        <w:t xml:space="preserve">wird </w:t>
      </w:r>
      <w:r w:rsidR="00C20498" w:rsidRPr="00821EEF">
        <w:rPr>
          <w:rFonts w:ascii="Arial" w:hAnsi="Arial" w:cs="Arial"/>
          <w:b/>
          <w:sz w:val="22"/>
          <w:szCs w:val="22"/>
        </w:rPr>
        <w:t>um den LCh-Farbraum</w:t>
      </w:r>
      <w:r>
        <w:rPr>
          <w:rFonts w:ascii="Arial" w:hAnsi="Arial" w:cs="Arial"/>
          <w:b/>
          <w:sz w:val="22"/>
          <w:szCs w:val="22"/>
        </w:rPr>
        <w:t xml:space="preserve"> erweitert</w:t>
      </w:r>
      <w:r w:rsidR="00C20498" w:rsidRPr="00821EEF">
        <w:rPr>
          <w:rFonts w:ascii="Arial" w:hAnsi="Arial" w:cs="Arial"/>
          <w:b/>
          <w:sz w:val="22"/>
          <w:szCs w:val="22"/>
        </w:rPr>
        <w:t xml:space="preserve">. </w:t>
      </w:r>
      <w:r w:rsidRPr="00676DC9">
        <w:rPr>
          <w:rFonts w:ascii="Arial" w:hAnsi="Arial" w:cs="Arial"/>
          <w:b/>
          <w:sz w:val="22"/>
          <w:szCs w:val="22"/>
        </w:rPr>
        <w:t xml:space="preserve">Durch die Verwendung des LCh-Farbraums und der Segmenttoleranz wird die Übereinstimmung mit der menschlichen Farbwahrnehmung um weitere zehn Prozentpunkte erhöht. Dies sorgt für eine äußerst präzise Farberkennung. Darüber hinaus lassen sich Farbton </w:t>
      </w:r>
      <w:r>
        <w:rPr>
          <w:rFonts w:ascii="Arial" w:hAnsi="Arial" w:cs="Arial"/>
          <w:b/>
          <w:sz w:val="22"/>
          <w:szCs w:val="22"/>
        </w:rPr>
        <w:t>und Sättigung separat anpassen.</w:t>
      </w:r>
    </w:p>
    <w:p w14:paraId="260B5855" w14:textId="5218BDA4" w:rsidR="007E3338" w:rsidRDefault="007E3338" w:rsidP="007E3338">
      <w:pPr>
        <w:pStyle w:val="StandardWeb"/>
        <w:spacing w:line="360" w:lineRule="auto"/>
        <w:rPr>
          <w:rFonts w:ascii="Arial" w:hAnsi="Arial" w:cs="Arial"/>
          <w:sz w:val="22"/>
          <w:szCs w:val="22"/>
        </w:rPr>
      </w:pPr>
      <w:r w:rsidRPr="007E3338">
        <w:rPr>
          <w:rFonts w:ascii="Arial" w:hAnsi="Arial" w:cs="Arial"/>
          <w:sz w:val="22"/>
          <w:szCs w:val="22"/>
        </w:rPr>
        <w:t>Aufgrund der hohen Genauigkeit und einer Messrate von bis zu 30 kHz werden Controller der Reihe colorSENSOR CFO250 vor allem in hochdynamischen Inline-Messungen eingesetzt – beispielsweise zur 100%-Qualitätskontrolle bei der Druckmarkenerkennung oder der Chargenprüfung. Bislang war der CFO250 in den Farbräumen XYZ, xyY, L*a*b*, L*u*v* und u‘v‘L* erhältlich, a</w:t>
      </w:r>
      <w:r>
        <w:rPr>
          <w:rFonts w:ascii="Arial" w:hAnsi="Arial" w:cs="Arial"/>
          <w:sz w:val="22"/>
          <w:szCs w:val="22"/>
        </w:rPr>
        <w:t xml:space="preserve">b sofort auch mit LCh-Farbraum. </w:t>
      </w:r>
      <w:r w:rsidRPr="007E3338">
        <w:rPr>
          <w:rFonts w:ascii="Arial" w:hAnsi="Arial" w:cs="Arial"/>
          <w:sz w:val="22"/>
          <w:szCs w:val="22"/>
        </w:rPr>
        <w:t xml:space="preserve">Anwender profitieren dabei von einer </w:t>
      </w:r>
      <w:r w:rsidR="00D90149">
        <w:rPr>
          <w:rFonts w:ascii="Arial" w:hAnsi="Arial" w:cs="Arial"/>
          <w:sz w:val="22"/>
          <w:szCs w:val="22"/>
        </w:rPr>
        <w:t>zehn</w:t>
      </w:r>
      <w:r w:rsidRPr="007E3338">
        <w:rPr>
          <w:rFonts w:ascii="Arial" w:hAnsi="Arial" w:cs="Arial"/>
          <w:sz w:val="22"/>
          <w:szCs w:val="22"/>
        </w:rPr>
        <w:t xml:space="preserve"> Prozent höheren Übereinstimmung der Farbwahrnehmung mit dem menschlichen Sehen gegenüber dem L*a*b*-Farbraum und damit maximaler Farbgenauigkeit. Zudem eignet sich der LCh-Farbraum sehr gut für das intuitive Darstellen und B</w:t>
      </w:r>
      <w:r>
        <w:rPr>
          <w:rFonts w:ascii="Arial" w:hAnsi="Arial" w:cs="Arial"/>
          <w:sz w:val="22"/>
          <w:szCs w:val="22"/>
        </w:rPr>
        <w:t>earbeiten von Farben.</w:t>
      </w:r>
    </w:p>
    <w:p w14:paraId="1C4868E2" w14:textId="77777777" w:rsidR="007E3338" w:rsidRPr="007E3338" w:rsidRDefault="007E3338" w:rsidP="007E3338">
      <w:pPr>
        <w:pStyle w:val="StandardWeb"/>
        <w:spacing w:line="360" w:lineRule="auto"/>
        <w:rPr>
          <w:rFonts w:ascii="Arial" w:hAnsi="Arial" w:cs="Arial"/>
          <w:b/>
          <w:sz w:val="22"/>
          <w:szCs w:val="22"/>
        </w:rPr>
      </w:pPr>
      <w:r w:rsidRPr="007E3338">
        <w:rPr>
          <w:rFonts w:ascii="Arial" w:hAnsi="Arial" w:cs="Arial"/>
          <w:b/>
          <w:sz w:val="22"/>
          <w:szCs w:val="22"/>
        </w:rPr>
        <w:t>Aufbau und Eigenschaften des LCh-Farbraums</w:t>
      </w:r>
    </w:p>
    <w:p w14:paraId="20EC5BD4" w14:textId="47538FE6" w:rsidR="007E3338" w:rsidRPr="007E3338" w:rsidRDefault="007E3338" w:rsidP="007E3338">
      <w:pPr>
        <w:pStyle w:val="StandardWeb"/>
        <w:spacing w:line="360" w:lineRule="auto"/>
        <w:rPr>
          <w:rFonts w:ascii="Arial" w:hAnsi="Arial" w:cs="Arial"/>
          <w:sz w:val="22"/>
          <w:szCs w:val="22"/>
        </w:rPr>
      </w:pPr>
      <w:r w:rsidRPr="007E3338">
        <w:rPr>
          <w:rFonts w:ascii="Arial" w:hAnsi="Arial" w:cs="Arial"/>
          <w:sz w:val="22"/>
          <w:szCs w:val="22"/>
        </w:rPr>
        <w:t xml:space="preserve">Der LCh-Farbraum besteht aus den Komponenten Luminanz (L), Chroma (C) und hue (h). Hierbei steht L für Helligkeit (Luminance) in einem Spektrum von 0 (schwarz) bis 100 (weiß), C für Sättigung (Chroma) mit einem Spektrum von 0 (wenig gesättigt) bis 100 (stark gesättigt) und h für den Farbton (hue) von 0° bis 360°, zum Beispiel rot, grün oder blau. Bei der Verwendung des LCh-Farbraums und der Segmenttoleranz erhöht sich die Farbwahrnehmung im Vergleich zum L*a*b*-Farbraum um </w:t>
      </w:r>
      <w:r w:rsidR="00DA1D4A">
        <w:rPr>
          <w:rFonts w:ascii="Arial" w:hAnsi="Arial" w:cs="Arial"/>
          <w:sz w:val="22"/>
          <w:szCs w:val="22"/>
        </w:rPr>
        <w:t>zehn</w:t>
      </w:r>
      <w:r w:rsidRPr="007E3338">
        <w:rPr>
          <w:rFonts w:ascii="Arial" w:hAnsi="Arial" w:cs="Arial"/>
          <w:sz w:val="22"/>
          <w:szCs w:val="22"/>
        </w:rPr>
        <w:t xml:space="preserve"> Prozent.</w:t>
      </w:r>
    </w:p>
    <w:p w14:paraId="268B908F" w14:textId="77777777" w:rsidR="007E3338" w:rsidRDefault="007E3338" w:rsidP="007E3338">
      <w:pPr>
        <w:pStyle w:val="StandardWeb"/>
        <w:spacing w:line="360" w:lineRule="auto"/>
        <w:rPr>
          <w:rFonts w:ascii="Arial" w:hAnsi="Arial" w:cs="Arial"/>
          <w:sz w:val="22"/>
          <w:szCs w:val="22"/>
        </w:rPr>
      </w:pPr>
    </w:p>
    <w:p w14:paraId="53358ECC" w14:textId="77777777" w:rsidR="007E3338" w:rsidRDefault="007E3338" w:rsidP="007E3338">
      <w:pPr>
        <w:pStyle w:val="StandardWeb"/>
        <w:spacing w:line="360" w:lineRule="auto"/>
        <w:rPr>
          <w:rFonts w:ascii="Arial" w:hAnsi="Arial" w:cs="Arial"/>
          <w:sz w:val="22"/>
          <w:szCs w:val="22"/>
        </w:rPr>
      </w:pPr>
    </w:p>
    <w:p w14:paraId="48B40193" w14:textId="77777777" w:rsidR="007E3338" w:rsidRDefault="007E3338" w:rsidP="007E3338">
      <w:pPr>
        <w:pStyle w:val="StandardWeb"/>
        <w:spacing w:line="360" w:lineRule="auto"/>
        <w:rPr>
          <w:rFonts w:ascii="Arial" w:hAnsi="Arial" w:cs="Arial"/>
          <w:sz w:val="22"/>
          <w:szCs w:val="22"/>
        </w:rPr>
      </w:pPr>
      <w:r w:rsidRPr="007E3338">
        <w:rPr>
          <w:rFonts w:ascii="Arial" w:hAnsi="Arial" w:cs="Arial"/>
          <w:sz w:val="22"/>
          <w:szCs w:val="22"/>
        </w:rPr>
        <w:t>Der colorSENSOR CFO250 vergleicht schnell und zuverlässig die eingelernten Farben mit dem aktuellen Messwert und bewertet diese nach OK oder NOK. Zudem können die Rohdaten mit bis zu 500 Hz über eine UDP-, RS232- oder USB-Schnittstelle direkt an eine SPS oder ein Maschinensystem übertragen werden. Entsprechende Flanken- oder Pegeltrigger steuern zudem, wie lange beziehungsweise wie vie</w:t>
      </w:r>
      <w:r>
        <w:rPr>
          <w:rFonts w:ascii="Arial" w:hAnsi="Arial" w:cs="Arial"/>
          <w:sz w:val="22"/>
          <w:szCs w:val="22"/>
        </w:rPr>
        <w:t>le Messwerte ausgegeben werden.</w:t>
      </w:r>
    </w:p>
    <w:p w14:paraId="3CAD3999" w14:textId="77777777" w:rsidR="007E3338" w:rsidRPr="007E3338" w:rsidRDefault="007E3338" w:rsidP="007E3338">
      <w:pPr>
        <w:pStyle w:val="StandardWeb"/>
        <w:spacing w:line="360" w:lineRule="auto"/>
        <w:rPr>
          <w:rFonts w:ascii="Arial" w:hAnsi="Arial" w:cs="Arial"/>
          <w:b/>
          <w:sz w:val="22"/>
          <w:szCs w:val="22"/>
        </w:rPr>
      </w:pPr>
      <w:r w:rsidRPr="007E3338">
        <w:rPr>
          <w:rFonts w:ascii="Arial" w:hAnsi="Arial" w:cs="Arial"/>
          <w:b/>
          <w:sz w:val="22"/>
          <w:szCs w:val="22"/>
        </w:rPr>
        <w:t>Speicher für bis zu 254 Farbgruppen</w:t>
      </w:r>
    </w:p>
    <w:p w14:paraId="5C876A36" w14:textId="77777777" w:rsidR="007E3338" w:rsidRDefault="007E3338" w:rsidP="007E3338">
      <w:pPr>
        <w:pStyle w:val="StandardWeb"/>
        <w:spacing w:line="360" w:lineRule="auto"/>
        <w:rPr>
          <w:rFonts w:ascii="Arial" w:hAnsi="Arial" w:cs="Arial"/>
          <w:sz w:val="22"/>
          <w:szCs w:val="22"/>
        </w:rPr>
      </w:pPr>
      <w:r w:rsidRPr="007E3338">
        <w:rPr>
          <w:rFonts w:ascii="Arial" w:hAnsi="Arial" w:cs="Arial"/>
          <w:sz w:val="22"/>
          <w:szCs w:val="22"/>
        </w:rPr>
        <w:t xml:space="preserve">Einen besonderen Vorteil bietet der große Farbspeicher für unterschiedliche Prüfchargen. Außerdem ist der Controller durch sein robustes Aluminiumgehäuse sowie die Schutzart IP65 bestens für raue Umgebungen geeignet. Über ein einfach zu bedienendes Webinterface lässt er sich schnell und einfach in Betrieb nehmen und kalibrieren. Auch das Einlernen der Farben erfolgt bequem über das </w:t>
      </w:r>
      <w:r>
        <w:rPr>
          <w:rFonts w:ascii="Arial" w:hAnsi="Arial" w:cs="Arial"/>
          <w:sz w:val="22"/>
          <w:szCs w:val="22"/>
        </w:rPr>
        <w:t xml:space="preserve">intuitive Webinterface. </w:t>
      </w:r>
      <w:r w:rsidRPr="007E3338">
        <w:rPr>
          <w:rFonts w:ascii="Arial" w:hAnsi="Arial" w:cs="Arial"/>
          <w:sz w:val="22"/>
          <w:szCs w:val="22"/>
        </w:rPr>
        <w:t>Im CFO Controller können 254 Farbgruppen mit mehr als 320 Einzelfarben eingelernt werden. Die Farbgruppen kommen u.a. zur Erhöhung der Farbgenauigkeit zum Einsatz.</w:t>
      </w:r>
    </w:p>
    <w:p w14:paraId="52028C55" w14:textId="77777777" w:rsidR="00AD49A1" w:rsidRDefault="00532ED4" w:rsidP="00D73B30">
      <w:pPr>
        <w:pStyle w:val="StandardWeb"/>
        <w:spacing w:line="360" w:lineRule="auto"/>
        <w:ind w:left="3540" w:firstLine="708"/>
        <w:rPr>
          <w:rFonts w:ascii="Arial" w:hAnsi="Arial" w:cs="Arial"/>
          <w:i/>
          <w:sz w:val="22"/>
          <w:szCs w:val="22"/>
          <w:lang w:eastAsia="en-US"/>
        </w:rPr>
      </w:pPr>
      <w:r w:rsidRPr="002F426A">
        <w:rPr>
          <w:rFonts w:ascii="Arial" w:hAnsi="Arial" w:cs="Arial"/>
          <w:i/>
          <w:sz w:val="22"/>
          <w:szCs w:val="22"/>
          <w:lang w:eastAsia="en-US"/>
        </w:rPr>
        <w:t xml:space="preserve">ca. </w:t>
      </w:r>
      <w:r w:rsidR="00D44056">
        <w:rPr>
          <w:rFonts w:ascii="Arial" w:hAnsi="Arial" w:cs="Arial"/>
          <w:i/>
          <w:sz w:val="22"/>
          <w:szCs w:val="22"/>
          <w:lang w:eastAsia="en-US"/>
        </w:rPr>
        <w:t>2</w:t>
      </w:r>
      <w:r w:rsidR="00BB4E0A" w:rsidRPr="002F426A">
        <w:rPr>
          <w:rFonts w:ascii="Arial" w:hAnsi="Arial" w:cs="Arial"/>
          <w:i/>
          <w:sz w:val="22"/>
          <w:szCs w:val="22"/>
          <w:lang w:eastAsia="en-US"/>
        </w:rPr>
        <w:t>.</w:t>
      </w:r>
      <w:r w:rsidR="00676DC9">
        <w:rPr>
          <w:rFonts w:ascii="Arial" w:hAnsi="Arial" w:cs="Arial"/>
          <w:i/>
          <w:sz w:val="22"/>
          <w:szCs w:val="22"/>
          <w:lang w:eastAsia="en-US"/>
        </w:rPr>
        <w:t>7</w:t>
      </w:r>
      <w:r w:rsidR="003E5B74" w:rsidRPr="002F426A">
        <w:rPr>
          <w:rFonts w:ascii="Arial" w:hAnsi="Arial" w:cs="Arial"/>
          <w:i/>
          <w:sz w:val="22"/>
          <w:szCs w:val="22"/>
          <w:lang w:eastAsia="en-US"/>
        </w:rPr>
        <w:t>0</w:t>
      </w:r>
      <w:r w:rsidR="00692B79" w:rsidRPr="002F426A">
        <w:rPr>
          <w:rFonts w:ascii="Arial" w:hAnsi="Arial" w:cs="Arial"/>
          <w:i/>
          <w:sz w:val="22"/>
          <w:szCs w:val="22"/>
          <w:lang w:eastAsia="en-US"/>
        </w:rPr>
        <w:t>0 Zeichen</w:t>
      </w:r>
    </w:p>
    <w:p w14:paraId="46CE763D" w14:textId="77777777" w:rsidR="006256DF" w:rsidRPr="00821EEF" w:rsidRDefault="00821EEF" w:rsidP="00937FED">
      <w:pPr>
        <w:pStyle w:val="StandardWeb"/>
        <w:spacing w:line="360" w:lineRule="auto"/>
        <w:rPr>
          <w:rFonts w:ascii="Arial" w:hAnsi="Arial"/>
          <w:sz w:val="22"/>
          <w:szCs w:val="22"/>
        </w:rPr>
      </w:pPr>
      <w:r>
        <w:rPr>
          <w:rFonts w:ascii="Arial" w:hAnsi="Arial"/>
          <w:noProof/>
          <w:sz w:val="22"/>
          <w:szCs w:val="22"/>
        </w:rPr>
        <w:drawing>
          <wp:inline distT="0" distB="0" distL="0" distR="0" wp14:anchorId="799AE86F" wp14:editId="1A30222F">
            <wp:extent cx="3623481" cy="2415654"/>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651_colorSENSOR CFO250 LCh Farbraum.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633794" cy="2422530"/>
                    </a:xfrm>
                    <a:prstGeom prst="rect">
                      <a:avLst/>
                    </a:prstGeom>
                  </pic:spPr>
                </pic:pic>
              </a:graphicData>
            </a:graphic>
          </wp:inline>
        </w:drawing>
      </w:r>
      <w:r w:rsidR="00C6659B" w:rsidRPr="00821EEF">
        <w:rPr>
          <w:rFonts w:ascii="Arial" w:hAnsi="Arial"/>
          <w:sz w:val="22"/>
          <w:szCs w:val="22"/>
        </w:rPr>
        <w:t xml:space="preserve"> (</w:t>
      </w:r>
      <w:r w:rsidRPr="00821EEF">
        <w:rPr>
          <w:rFonts w:ascii="Arial" w:hAnsi="Arial" w:cs="Arial"/>
          <w:sz w:val="22"/>
          <w:szCs w:val="22"/>
          <w:shd w:val="clear" w:color="auto" w:fill="FFFFFF"/>
        </w:rPr>
        <w:t>PR651_colorSENSOR-CFO250-LCh-Farbraum</w:t>
      </w:r>
      <w:r w:rsidR="001F1F0C">
        <w:rPr>
          <w:rFonts w:ascii="Arial" w:hAnsi="Arial" w:cs="Arial"/>
          <w:sz w:val="22"/>
          <w:szCs w:val="22"/>
          <w:shd w:val="clear" w:color="auto" w:fill="FFFFFF"/>
        </w:rPr>
        <w:t>.jpg</w:t>
      </w:r>
      <w:r w:rsidR="006256DF" w:rsidRPr="00821EEF">
        <w:rPr>
          <w:rFonts w:ascii="Arial" w:hAnsi="Arial" w:cs="Arial"/>
          <w:sz w:val="22"/>
          <w:szCs w:val="22"/>
        </w:rPr>
        <w:t>)</w:t>
      </w:r>
    </w:p>
    <w:sectPr w:rsidR="006256DF" w:rsidRPr="00821EEF"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271A5" w14:textId="77777777" w:rsidR="005F1402" w:rsidRDefault="003771EC">
      <w:r>
        <w:separator/>
      </w:r>
    </w:p>
  </w:endnote>
  <w:endnote w:type="continuationSeparator" w:id="0">
    <w:p w14:paraId="745633E5"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0C0FA" w14:textId="77777777" w:rsidR="00DA1D4A"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7CD3B4E" wp14:editId="27690757">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5377CF" w14:textId="77777777" w:rsidR="00DA1D4A"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6227EF2D" w14:textId="77777777" w:rsidR="00DA1D4A" w:rsidRPr="00F86DF1" w:rsidRDefault="00DA1D4A" w:rsidP="00F86DF1">
                          <w:pPr>
                            <w:pStyle w:val="Fuzeile"/>
                            <w:jc w:val="right"/>
                            <w:rPr>
                              <w:rFonts w:ascii="Swis721 Lt BT" w:hAnsi="Swis721 Lt BT"/>
                              <w:sz w:val="12"/>
                              <w:szCs w:val="12"/>
                              <w:lang w:val="it-IT"/>
                            </w:rPr>
                          </w:pPr>
                        </w:p>
                        <w:p w14:paraId="310F8D48" w14:textId="77777777" w:rsidR="00DA1D4A"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3CABC744" w14:textId="77777777" w:rsidR="00DA1D4A"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14:paraId="250859D1" w14:textId="77777777" w:rsidR="00DA1D4A" w:rsidRPr="00F86DF1" w:rsidRDefault="00DA1D4A" w:rsidP="00F86DF1">
                          <w:pPr>
                            <w:pStyle w:val="Fuzeile"/>
                            <w:jc w:val="right"/>
                            <w:rPr>
                              <w:rFonts w:ascii="Swis721 Lt BT" w:hAnsi="Swis721 Lt BT"/>
                              <w:sz w:val="12"/>
                              <w:szCs w:val="12"/>
                            </w:rPr>
                          </w:pPr>
                        </w:p>
                        <w:p w14:paraId="4C6A5FCC" w14:textId="77777777" w:rsidR="00DA1D4A"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27E9E9C8" w14:textId="77777777" w:rsidR="00DA1D4A" w:rsidRPr="00F86DF1" w:rsidRDefault="00DA1D4A"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14:paraId="53BA5ADF" w14:textId="77777777" w:rsidR="00DA1D4A" w:rsidRPr="00F86DF1" w:rsidRDefault="00DA1D4A"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CD3B4E"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" stroked="f">
              <v:textbox>
                <w:txbxContent>
                  <w:p w14:paraId="095377CF" w14:textId="77777777" w:rsidR="00DA1D4A"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6227EF2D" w14:textId="77777777" w:rsidR="00DA1D4A" w:rsidRPr="00F86DF1" w:rsidRDefault="00DA1D4A" w:rsidP="00F86DF1">
                    <w:pPr>
                      <w:pStyle w:val="Fuzeile"/>
                      <w:jc w:val="right"/>
                      <w:rPr>
                        <w:rFonts w:ascii="Swis721 Lt BT" w:hAnsi="Swis721 Lt BT"/>
                        <w:sz w:val="12"/>
                        <w:szCs w:val="12"/>
                        <w:lang w:val="it-IT"/>
                      </w:rPr>
                    </w:pPr>
                  </w:p>
                  <w:p w14:paraId="310F8D48" w14:textId="77777777" w:rsidR="00DA1D4A"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3CABC744" w14:textId="77777777" w:rsidR="00DA1D4A"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14:paraId="250859D1" w14:textId="77777777" w:rsidR="00DA1D4A" w:rsidRPr="00F86DF1" w:rsidRDefault="00DA1D4A" w:rsidP="00F86DF1">
                    <w:pPr>
                      <w:pStyle w:val="Fuzeile"/>
                      <w:jc w:val="right"/>
                      <w:rPr>
                        <w:rFonts w:ascii="Swis721 Lt BT" w:hAnsi="Swis721 Lt BT"/>
                        <w:sz w:val="12"/>
                        <w:szCs w:val="12"/>
                      </w:rPr>
                    </w:pPr>
                  </w:p>
                  <w:p w14:paraId="4C6A5FCC" w14:textId="77777777" w:rsidR="00DA1D4A"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27E9E9C8" w14:textId="77777777" w:rsidR="00DA1D4A" w:rsidRPr="00F86DF1" w:rsidRDefault="00DA1D4A"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14:paraId="53BA5ADF" w14:textId="77777777" w:rsidR="00DA1D4A" w:rsidRPr="00F86DF1" w:rsidRDefault="00DA1D4A"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F8943" w14:textId="77777777" w:rsidR="005F1402" w:rsidRDefault="003771EC">
      <w:r>
        <w:separator/>
      </w:r>
    </w:p>
  </w:footnote>
  <w:footnote w:type="continuationSeparator" w:id="0">
    <w:p w14:paraId="2599037A"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B7095" w14:textId="77777777" w:rsidR="00DA1D4A" w:rsidRDefault="00DA1D4A" w:rsidP="00660CD2">
    <w:pPr>
      <w:pStyle w:val="Kopfzeile"/>
      <w:jc w:val="center"/>
    </w:pPr>
    <w:r>
      <w:rPr>
        <w:noProof/>
      </w:rPr>
      <w:object w:dxaOrig="1440" w:dyaOrig="1440" w14:anchorId="15AA78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5738248"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45CD4"/>
    <w:rsid w:val="00351CC3"/>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76DC9"/>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3338"/>
    <w:rsid w:val="007E4C97"/>
    <w:rsid w:val="007E711B"/>
    <w:rsid w:val="007E7C9B"/>
    <w:rsid w:val="00811983"/>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20498"/>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3B30"/>
    <w:rsid w:val="00D74C5E"/>
    <w:rsid w:val="00D80769"/>
    <w:rsid w:val="00D808C2"/>
    <w:rsid w:val="00D90149"/>
    <w:rsid w:val="00DA1D4A"/>
    <w:rsid w:val="00DA1FA7"/>
    <w:rsid w:val="00DA7E95"/>
    <w:rsid w:val="00DB240F"/>
    <w:rsid w:val="00DC0FD4"/>
    <w:rsid w:val="00DD48E2"/>
    <w:rsid w:val="00DE19FA"/>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F780352"/>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~WRL0001.tmp</Template>
  <TotalTime>0</TotalTime>
  <Pages>2</Pages>
  <Words>376</Words>
  <Characters>2374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26</cp:revision>
  <dcterms:created xsi:type="dcterms:W3CDTF">2025-03-20T12:09:00Z</dcterms:created>
  <dcterms:modified xsi:type="dcterms:W3CDTF">2025-11-27T07:44:00Z</dcterms:modified>
</cp:coreProperties>
</file>